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39A" w:rsidRDefault="00EE5A00">
      <w:r>
        <w:t xml:space="preserve">Leah </w:t>
      </w:r>
      <w:proofErr w:type="spellStart"/>
      <w:r>
        <w:t>Hudak</w:t>
      </w:r>
      <w:proofErr w:type="spellEnd"/>
    </w:p>
    <w:p w:rsidR="00EE5A00" w:rsidRDefault="00AB326B">
      <w:r>
        <w:t>***</w:t>
      </w:r>
      <w:r w:rsidR="00EE5A00">
        <w:t>Write up for my part of the chapter 2 presentation p19-24</w:t>
      </w:r>
      <w:r>
        <w:t xml:space="preserve"> (highlighted and noted pages are attached to bottom. </w:t>
      </w:r>
    </w:p>
    <w:p w:rsidR="00EE5A00" w:rsidRDefault="00EE5A00"/>
    <w:p w:rsidR="00EE5A00" w:rsidRDefault="00EE5A00">
      <w:r>
        <w:t>Chapter 2:  Assessment for and of Learning</w:t>
      </w:r>
    </w:p>
    <w:p w:rsidR="00EE5A00" w:rsidRDefault="00EE5A00">
      <w:r>
        <w:t>The chapter opens with the quote “If we can do something with assessment information beyond using it to figure grades, we can improve learning.”</w:t>
      </w:r>
      <w:r w:rsidR="00AB326B">
        <w:t xml:space="preserve"> This is a great place to pose a question to the group, such as, “If the TEA is modifying out TEKS to use upper level blooms to test our students “knowledge and skills” are summative “multiple choice” tests reflective of this?”</w:t>
      </w:r>
    </w:p>
    <w:p w:rsidR="00AB326B" w:rsidRDefault="00AB326B">
      <w:r>
        <w:t>Also, the first page of the chapter points out that formative assessment and formative assessment modules have become so popular, but most teachers are still using the same old summative assessment…..why do you think this?</w:t>
      </w:r>
    </w:p>
    <w:p w:rsidR="00AB326B" w:rsidRDefault="00AB326B">
      <w:r>
        <w:t>I feel it is because it takes a lot of time and effort for teachers to make meaningful formative assessments. Many teachers think that by giving multiple choice questions that are similar to that of the state test they are doing the kids a favor, but really…if you equip the kids with the tools they need (knowledge and skills) and test on those in a variety of meaningful and reflective ways….the multiple choice questions will be easy!!!</w:t>
      </w:r>
    </w:p>
    <w:p w:rsidR="00AB326B" w:rsidRDefault="00275A5C">
      <w:r>
        <w:t xml:space="preserve">I spent a lot of time thinking about and talking about the figure on p20 which shows a visual of a balanced assessment system.  You need to start by design with a clear purpose and clear learning targets, design the assessments to test these and communicate effectively within the design, then get the student’s involved in the assessment and the reflection of the assessment.   At all steps you always need to remind yourself of your desired goals, audience, how achievement is monitored and what they next step will be (reteach or accelerated assignments). </w:t>
      </w:r>
    </w:p>
    <w:p w:rsidR="00DF6F06" w:rsidRDefault="00DF6F06">
      <w:r>
        <w:t xml:space="preserve">Next I talked about how a balanced assessment system needed to include both formative and summative assessments in the classroom, but also </w:t>
      </w:r>
      <w:proofErr w:type="gramStart"/>
      <w:r>
        <w:t>were</w:t>
      </w:r>
      <w:proofErr w:type="gramEnd"/>
      <w:r>
        <w:t xml:space="preserve"> beneficial on the levels of benchmarking and in preparation for the annual state assessment. In the classroom, assessments are methods of immediate feedback of knowledge and skills. Benchmarks will point </w:t>
      </w:r>
      <w:r w:rsidR="002A23DA">
        <w:t>about</w:t>
      </w:r>
      <w:r>
        <w:t xml:space="preserve"> areas that need remediation, and the state assessment will also point our areas of need, but more </w:t>
      </w:r>
      <w:r w:rsidR="002A23DA">
        <w:t>importantly</w:t>
      </w:r>
      <w:r>
        <w:t xml:space="preserve"> areas within the program that need help (program </w:t>
      </w:r>
      <w:r w:rsidR="002A23DA">
        <w:t>effectiveness</w:t>
      </w:r>
      <w:r>
        <w:t xml:space="preserve">). </w:t>
      </w:r>
    </w:p>
    <w:p w:rsidR="002A23DA" w:rsidRDefault="002A23DA">
      <w:r>
        <w:t xml:space="preserve">Lastly, my favorite part of the chapter focused on the impact of formative assessment on student achievement. Once a balance was achieved between the formative and summative assessment, student achievement increased. The studies here showed that once teachers added formative assessments to their typical summative assessment protocol, there </w:t>
      </w:r>
      <w:proofErr w:type="gramStart"/>
      <w:r>
        <w:t>was increased reports</w:t>
      </w:r>
      <w:proofErr w:type="gramEnd"/>
      <w:r>
        <w:t xml:space="preserve"> in student achievement. This was said to have launched thousands of formative assessment products.  In these formative assessments, the students were able to monitor their work and self-assess; the dialogue and feedback added to the kid’s success. The conclusion was that when self-assessment was taught to the kids after </w:t>
      </w:r>
      <w:r>
        <w:lastRenderedPageBreak/>
        <w:t xml:space="preserve">the assessments, the kids knew their weak areas, worked on the independently before the grade dropped and remediation was needed. </w:t>
      </w:r>
    </w:p>
    <w:p w:rsidR="00AB326B" w:rsidRDefault="00AB326B"/>
    <w:p w:rsidR="00AB326B" w:rsidRDefault="00AB326B">
      <w:bookmarkStart w:id="0" w:name="_GoBack"/>
      <w:r>
        <w:rPr>
          <w:noProof/>
        </w:rPr>
        <w:drawing>
          <wp:inline distT="0" distB="0" distL="0" distR="0">
            <wp:extent cx="6106612" cy="7153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7730" cy="7154584"/>
                    </a:xfrm>
                    <a:prstGeom prst="rect">
                      <a:avLst/>
                    </a:prstGeom>
                    <a:noFill/>
                    <a:ln>
                      <a:noFill/>
                    </a:ln>
                  </pic:spPr>
                </pic:pic>
              </a:graphicData>
            </a:graphic>
          </wp:inline>
        </w:drawing>
      </w:r>
      <w:bookmarkEnd w:id="0"/>
      <w:r w:rsidRPr="00AB326B">
        <w:t xml:space="preserve"> </w:t>
      </w:r>
      <w:r>
        <w:rPr>
          <w:noProof/>
        </w:rPr>
        <w:lastRenderedPageBreak/>
        <w:drawing>
          <wp:inline distT="0" distB="0" distL="0" distR="0">
            <wp:extent cx="5943600" cy="759423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594238"/>
                    </a:xfrm>
                    <a:prstGeom prst="rect">
                      <a:avLst/>
                    </a:prstGeom>
                    <a:noFill/>
                    <a:ln>
                      <a:noFill/>
                    </a:ln>
                  </pic:spPr>
                </pic:pic>
              </a:graphicData>
            </a:graphic>
          </wp:inline>
        </w:drawing>
      </w:r>
      <w:r w:rsidRPr="00AB326B">
        <w:t xml:space="preserve"> </w:t>
      </w:r>
      <w:r>
        <w:rPr>
          <w:noProof/>
        </w:rPr>
        <w:lastRenderedPageBreak/>
        <w:drawing>
          <wp:inline distT="0" distB="0" distL="0" distR="0">
            <wp:extent cx="5943600" cy="6943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943695"/>
                    </a:xfrm>
                    <a:prstGeom prst="rect">
                      <a:avLst/>
                    </a:prstGeom>
                    <a:noFill/>
                    <a:ln>
                      <a:noFill/>
                    </a:ln>
                  </pic:spPr>
                </pic:pic>
              </a:graphicData>
            </a:graphic>
          </wp:inline>
        </w:drawing>
      </w:r>
      <w:r w:rsidRPr="00AB326B">
        <w:t xml:space="preserve"> </w:t>
      </w:r>
      <w:r>
        <w:rPr>
          <w:noProof/>
        </w:rPr>
        <w:lastRenderedPageBreak/>
        <w:drawing>
          <wp:inline distT="0" distB="0" distL="0" distR="0">
            <wp:extent cx="5943600" cy="7722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722249"/>
                    </a:xfrm>
                    <a:prstGeom prst="rect">
                      <a:avLst/>
                    </a:prstGeom>
                    <a:noFill/>
                    <a:ln>
                      <a:noFill/>
                    </a:ln>
                  </pic:spPr>
                </pic:pic>
              </a:graphicData>
            </a:graphic>
          </wp:inline>
        </w:drawing>
      </w:r>
      <w:r w:rsidRPr="00AB326B">
        <w:t xml:space="preserve"> </w:t>
      </w:r>
      <w:r>
        <w:rPr>
          <w:noProof/>
        </w:rPr>
        <w:lastRenderedPageBreak/>
        <w:drawing>
          <wp:inline distT="0" distB="0" distL="0" distR="0">
            <wp:extent cx="5943600" cy="73225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22566"/>
                    </a:xfrm>
                    <a:prstGeom prst="rect">
                      <a:avLst/>
                    </a:prstGeom>
                    <a:noFill/>
                    <a:ln>
                      <a:noFill/>
                    </a:ln>
                  </pic:spPr>
                </pic:pic>
              </a:graphicData>
            </a:graphic>
          </wp:inline>
        </w:drawing>
      </w:r>
      <w:r w:rsidRPr="00AB326B">
        <w:t xml:space="preserve"> </w:t>
      </w:r>
      <w:r>
        <w:rPr>
          <w:noProof/>
        </w:rPr>
        <w:lastRenderedPageBreak/>
        <w:drawing>
          <wp:inline distT="0" distB="0" distL="0" distR="0">
            <wp:extent cx="5943600" cy="7830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30355"/>
                    </a:xfrm>
                    <a:prstGeom prst="rect">
                      <a:avLst/>
                    </a:prstGeom>
                    <a:noFill/>
                    <a:ln>
                      <a:noFill/>
                    </a:ln>
                  </pic:spPr>
                </pic:pic>
              </a:graphicData>
            </a:graphic>
          </wp:inline>
        </w:drawing>
      </w:r>
    </w:p>
    <w:sectPr w:rsidR="00AB32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A00"/>
    <w:rsid w:val="00275A5C"/>
    <w:rsid w:val="002A23DA"/>
    <w:rsid w:val="002B42CD"/>
    <w:rsid w:val="00A1332E"/>
    <w:rsid w:val="00AB326B"/>
    <w:rsid w:val="00DF6F06"/>
    <w:rsid w:val="00EE5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2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2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Hudak</dc:creator>
  <cp:lastModifiedBy>Leah Hudak</cp:lastModifiedBy>
  <cp:revision>2</cp:revision>
  <dcterms:created xsi:type="dcterms:W3CDTF">2012-05-12T15:29:00Z</dcterms:created>
  <dcterms:modified xsi:type="dcterms:W3CDTF">2012-05-12T16:42:00Z</dcterms:modified>
</cp:coreProperties>
</file>